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A6" w:rsidRDefault="00392AA6" w:rsidP="005A79C9">
      <w:pPr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PHỤ LỤC </w:t>
      </w:r>
    </w:p>
    <w:p w:rsidR="00392AA6" w:rsidRDefault="00392AA6" w:rsidP="005A79C9">
      <w:pPr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DANH MỤC </w:t>
      </w:r>
      <w:r w:rsidR="005A79C9" w:rsidRPr="005B356A">
        <w:rPr>
          <w:b/>
          <w:szCs w:val="28"/>
          <w:lang w:val="en-US"/>
        </w:rPr>
        <w:t>THỦ TỤC HÀNH CHÍNH MỚI BAN HÀNH TRONG LĨNH VỰ</w:t>
      </w:r>
      <w:r>
        <w:rPr>
          <w:b/>
          <w:szCs w:val="28"/>
          <w:lang w:val="en-US"/>
        </w:rPr>
        <w:t>C</w:t>
      </w:r>
    </w:p>
    <w:p w:rsidR="00392AA6" w:rsidRDefault="005A79C9" w:rsidP="005A79C9">
      <w:pPr>
        <w:jc w:val="center"/>
        <w:rPr>
          <w:b/>
          <w:szCs w:val="28"/>
          <w:lang w:val="en-US"/>
        </w:rPr>
      </w:pPr>
      <w:r w:rsidRPr="005B356A">
        <w:rPr>
          <w:b/>
          <w:szCs w:val="28"/>
          <w:lang w:val="en-US"/>
        </w:rPr>
        <w:t xml:space="preserve">ĐĂNG KÝ, QUẢN LÝ CƯ TRÚ THUỘC THẨM QUYỀN GIẢI QUYẾT CỦA </w:t>
      </w:r>
      <w:r w:rsidR="00392AA6">
        <w:rPr>
          <w:b/>
          <w:szCs w:val="28"/>
          <w:lang w:val="en-US"/>
        </w:rPr>
        <w:t xml:space="preserve">UBND </w:t>
      </w:r>
      <w:r w:rsidRPr="005B356A">
        <w:rPr>
          <w:b/>
          <w:szCs w:val="28"/>
          <w:lang w:val="en-US"/>
        </w:rPr>
        <w:t>CẤP XÃ</w:t>
      </w:r>
      <w:r w:rsidR="00392AA6">
        <w:rPr>
          <w:b/>
          <w:szCs w:val="28"/>
          <w:lang w:val="en-US"/>
        </w:rPr>
        <w:t>,</w:t>
      </w:r>
    </w:p>
    <w:p w:rsidR="005A79C9" w:rsidRPr="00392AA6" w:rsidRDefault="00392AA6" w:rsidP="005A79C9">
      <w:pPr>
        <w:jc w:val="center"/>
        <w:rPr>
          <w:b/>
          <w:szCs w:val="28"/>
          <w:lang w:val="en-US"/>
        </w:rPr>
      </w:pPr>
      <w:r>
        <w:rPr>
          <w:b/>
          <w:szCs w:val="28"/>
          <w:lang w:val="en-US"/>
        </w:rPr>
        <w:t xml:space="preserve">UBND CẤP HUYỆN NƠI KHÔNG CÓ ĐƠN VỊ HÀNH CHÍNH CẤP XÃ </w:t>
      </w:r>
      <w:r w:rsidR="005A79C9" w:rsidRPr="005B356A">
        <w:rPr>
          <w:b/>
          <w:szCs w:val="28"/>
          <w:lang w:val="en-US"/>
        </w:rPr>
        <w:t>TRÊN ĐỊA BÀN TỈNH QUẢNG NGÃI</w:t>
      </w:r>
    </w:p>
    <w:p w:rsidR="005A79C9" w:rsidRPr="00571CEF" w:rsidRDefault="005A79C9" w:rsidP="005A79C9">
      <w:pPr>
        <w:jc w:val="center"/>
        <w:rPr>
          <w:i/>
          <w:lang w:val="en-US"/>
        </w:rPr>
      </w:pPr>
      <w:r w:rsidRPr="00571CEF">
        <w:rPr>
          <w:i/>
          <w:lang w:val="en-US"/>
        </w:rPr>
        <w:t>(</w:t>
      </w:r>
      <w:r w:rsidR="00E35C4F" w:rsidRPr="00571CEF">
        <w:rPr>
          <w:i/>
          <w:lang w:val="en-US"/>
        </w:rPr>
        <w:t xml:space="preserve">Kèm </w:t>
      </w:r>
      <w:r w:rsidRPr="00571CEF">
        <w:rPr>
          <w:i/>
          <w:lang w:val="en-US"/>
        </w:rPr>
        <w:t>theo Quyết định số</w:t>
      </w:r>
      <w:r w:rsidR="00392AA6">
        <w:rPr>
          <w:i/>
          <w:lang w:val="en-US"/>
        </w:rPr>
        <w:t xml:space="preserve">       </w:t>
      </w:r>
      <w:r w:rsidRPr="00571CEF">
        <w:rPr>
          <w:i/>
          <w:lang w:val="en-US"/>
        </w:rPr>
        <w:t xml:space="preserve">  /QĐ-UBND</w:t>
      </w:r>
      <w:r w:rsidR="00E35C4F" w:rsidRPr="00571CEF">
        <w:rPr>
          <w:i/>
          <w:lang w:val="en-US"/>
        </w:rPr>
        <w:t xml:space="preserve"> </w:t>
      </w:r>
      <w:r w:rsidRPr="00571CEF">
        <w:rPr>
          <w:i/>
          <w:lang w:val="en-US"/>
        </w:rPr>
        <w:t xml:space="preserve">ngày   </w:t>
      </w:r>
      <w:r w:rsidR="00392AA6">
        <w:rPr>
          <w:i/>
          <w:lang w:val="en-US"/>
        </w:rPr>
        <w:t xml:space="preserve"> </w:t>
      </w:r>
      <w:r w:rsidRPr="00571CEF">
        <w:rPr>
          <w:i/>
          <w:lang w:val="en-US"/>
        </w:rPr>
        <w:t xml:space="preserve"> /02/2025 của Chủ </w:t>
      </w:r>
      <w:r w:rsidR="00E35C4F" w:rsidRPr="00571CEF">
        <w:rPr>
          <w:i/>
          <w:lang w:val="en-US"/>
        </w:rPr>
        <w:t>tịch UBND</w:t>
      </w:r>
      <w:r w:rsidRPr="00571CEF">
        <w:rPr>
          <w:i/>
          <w:lang w:val="en-US"/>
        </w:rPr>
        <w:t xml:space="preserve"> tỉnh</w:t>
      </w:r>
      <w:r w:rsidR="00E35C4F" w:rsidRPr="00571CEF">
        <w:rPr>
          <w:i/>
          <w:lang w:val="en-US"/>
        </w:rPr>
        <w:t xml:space="preserve"> Quảng Ngãi</w:t>
      </w:r>
      <w:r w:rsidRPr="00571CEF">
        <w:rPr>
          <w:i/>
          <w:lang w:val="en-US"/>
        </w:rPr>
        <w:t>)</w:t>
      </w:r>
    </w:p>
    <w:p w:rsidR="005A79C9" w:rsidRPr="00392AA6" w:rsidRDefault="005B356A" w:rsidP="00392AA6">
      <w:pPr>
        <w:spacing w:before="120" w:after="120"/>
        <w:jc w:val="center"/>
        <w:rPr>
          <w:i/>
          <w:lang w:val="en-US"/>
        </w:rPr>
      </w:pPr>
      <w:r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EF20DC" wp14:editId="79CC635F">
                <wp:simplePos x="0" y="0"/>
                <wp:positionH relativeFrom="column">
                  <wp:posOffset>3880485</wp:posOffset>
                </wp:positionH>
                <wp:positionV relativeFrom="paragraph">
                  <wp:posOffset>56845</wp:posOffset>
                </wp:positionV>
                <wp:extent cx="1426464" cy="0"/>
                <wp:effectExtent l="0" t="0" r="2159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64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5.55pt,4.5pt" to="417.8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" strokecolor="black [3040]"/>
            </w:pict>
          </mc:Fallback>
        </mc:AlternateConten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678"/>
        <w:gridCol w:w="1559"/>
        <w:gridCol w:w="3686"/>
        <w:gridCol w:w="992"/>
        <w:gridCol w:w="3402"/>
      </w:tblGrid>
      <w:tr w:rsidR="00FA4AF2" w:rsidRPr="00E35C4F" w:rsidTr="00FA4AF2">
        <w:trPr>
          <w:trHeight w:val="20"/>
        </w:trPr>
        <w:tc>
          <w:tcPr>
            <w:tcW w:w="817" w:type="dxa"/>
            <w:vAlign w:val="center"/>
          </w:tcPr>
          <w:p w:rsidR="00FA4AF2" w:rsidRPr="00E35C4F" w:rsidRDefault="00FA4AF2" w:rsidP="00E35C4F">
            <w:pPr>
              <w:widowControl w:val="0"/>
              <w:spacing w:before="60" w:after="60"/>
              <w:jc w:val="center"/>
              <w:rPr>
                <w:b/>
                <w:szCs w:val="28"/>
              </w:rPr>
            </w:pPr>
            <w:r w:rsidRPr="00E35C4F">
              <w:rPr>
                <w:b/>
                <w:szCs w:val="28"/>
              </w:rPr>
              <w:t>STT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A4AF2" w:rsidRPr="00E35C4F" w:rsidRDefault="00FA4AF2" w:rsidP="00E35C4F">
            <w:pPr>
              <w:widowControl w:val="0"/>
              <w:tabs>
                <w:tab w:val="left" w:pos="4536"/>
              </w:tabs>
              <w:spacing w:before="60" w:after="60"/>
              <w:jc w:val="center"/>
              <w:rPr>
                <w:b/>
                <w:szCs w:val="28"/>
              </w:rPr>
            </w:pPr>
            <w:r w:rsidRPr="00E35C4F">
              <w:rPr>
                <w:b/>
                <w:szCs w:val="28"/>
              </w:rPr>
              <w:t>Tên thủ tục hành chính</w:t>
            </w:r>
          </w:p>
        </w:tc>
        <w:tc>
          <w:tcPr>
            <w:tcW w:w="1559" w:type="dxa"/>
            <w:vAlign w:val="center"/>
          </w:tcPr>
          <w:p w:rsidR="00FA4AF2" w:rsidRPr="00E35C4F" w:rsidRDefault="00FA4AF2" w:rsidP="00E35C4F">
            <w:pPr>
              <w:widowControl w:val="0"/>
              <w:tabs>
                <w:tab w:val="left" w:pos="4536"/>
              </w:tabs>
              <w:spacing w:before="60" w:after="60"/>
              <w:jc w:val="center"/>
              <w:rPr>
                <w:b/>
                <w:szCs w:val="28"/>
                <w:lang w:val="en-US"/>
              </w:rPr>
            </w:pPr>
            <w:r w:rsidRPr="00E35C4F">
              <w:rPr>
                <w:b/>
                <w:szCs w:val="28"/>
                <w:lang w:val="en-US"/>
              </w:rPr>
              <w:t>Thời hạn giải quyết</w:t>
            </w:r>
          </w:p>
        </w:tc>
        <w:tc>
          <w:tcPr>
            <w:tcW w:w="3686" w:type="dxa"/>
            <w:vAlign w:val="center"/>
          </w:tcPr>
          <w:p w:rsidR="00FA4AF2" w:rsidRPr="00E35C4F" w:rsidRDefault="00FA4AF2" w:rsidP="00C34315">
            <w:pPr>
              <w:widowControl w:val="0"/>
              <w:tabs>
                <w:tab w:val="left" w:pos="4536"/>
              </w:tabs>
              <w:spacing w:before="60" w:after="60"/>
              <w:jc w:val="center"/>
              <w:rPr>
                <w:b/>
                <w:szCs w:val="28"/>
                <w:lang w:val="en-US"/>
              </w:rPr>
            </w:pPr>
            <w:r>
              <w:rPr>
                <w:b/>
                <w:szCs w:val="28"/>
                <w:lang w:val="en-US"/>
              </w:rPr>
              <w:t xml:space="preserve">Cách thức và địa điểm thực hiện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4AF2" w:rsidRPr="00E35C4F" w:rsidRDefault="00FA4AF2" w:rsidP="00E35C4F">
            <w:pPr>
              <w:widowControl w:val="0"/>
              <w:spacing w:before="60" w:after="60"/>
              <w:jc w:val="center"/>
              <w:rPr>
                <w:b/>
                <w:szCs w:val="28"/>
                <w:lang w:val="sv-SE"/>
              </w:rPr>
            </w:pPr>
            <w:r>
              <w:rPr>
                <w:b/>
                <w:szCs w:val="28"/>
                <w:lang w:val="sv-SE"/>
              </w:rPr>
              <w:t>Phí, lệ phí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A4AF2" w:rsidRPr="00E35C4F" w:rsidRDefault="00FA4AF2" w:rsidP="00E35C4F">
            <w:pPr>
              <w:widowControl w:val="0"/>
              <w:jc w:val="center"/>
              <w:rPr>
                <w:b/>
                <w:szCs w:val="28"/>
                <w:lang w:val="sv-SE"/>
              </w:rPr>
            </w:pPr>
            <w:r>
              <w:rPr>
                <w:b/>
                <w:szCs w:val="28"/>
                <w:lang w:val="sv-SE"/>
              </w:rPr>
              <w:t>Căn cứ pháp lý</w:t>
            </w:r>
          </w:p>
        </w:tc>
      </w:tr>
      <w:tr w:rsidR="00FA4AF2" w:rsidRPr="00E35C4F" w:rsidTr="00FA4AF2">
        <w:trPr>
          <w:trHeight w:val="1826"/>
        </w:trPr>
        <w:tc>
          <w:tcPr>
            <w:tcW w:w="817" w:type="dxa"/>
            <w:vAlign w:val="center"/>
          </w:tcPr>
          <w:p w:rsidR="00FA4AF2" w:rsidRPr="00E35C4F" w:rsidRDefault="00FA4AF2" w:rsidP="00E35C4F">
            <w:pPr>
              <w:widowControl w:val="0"/>
              <w:spacing w:before="60" w:after="60"/>
              <w:jc w:val="center"/>
              <w:rPr>
                <w:szCs w:val="28"/>
              </w:rPr>
            </w:pPr>
            <w:r w:rsidRPr="00E35C4F">
              <w:rPr>
                <w:szCs w:val="28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A4AF2" w:rsidRPr="00E35C4F" w:rsidRDefault="00FA4AF2" w:rsidP="00E35C4F">
            <w:pPr>
              <w:widowControl w:val="0"/>
              <w:tabs>
                <w:tab w:val="left" w:pos="4536"/>
              </w:tabs>
              <w:spacing w:before="60" w:after="60"/>
              <w:jc w:val="both"/>
              <w:rPr>
                <w:color w:val="000000"/>
                <w:szCs w:val="28"/>
              </w:rPr>
            </w:pPr>
            <w:r w:rsidRPr="00E35C4F">
              <w:rPr>
                <w:color w:val="000000"/>
                <w:szCs w:val="28"/>
              </w:rPr>
              <w:t>Xác nhận nơi thường xuyên đậu, đỗ; sử dụng phương tiện vào mục đích để ở</w:t>
            </w:r>
          </w:p>
        </w:tc>
        <w:tc>
          <w:tcPr>
            <w:tcW w:w="1559" w:type="dxa"/>
            <w:vMerge w:val="restart"/>
            <w:vAlign w:val="center"/>
          </w:tcPr>
          <w:p w:rsidR="00FA4AF2" w:rsidRPr="00E35C4F" w:rsidRDefault="00FA4AF2" w:rsidP="00E35C4F">
            <w:pPr>
              <w:spacing w:before="60" w:after="60"/>
              <w:jc w:val="center"/>
              <w:rPr>
                <w:color w:val="000000"/>
                <w:szCs w:val="28"/>
                <w:lang w:val="en-US"/>
              </w:rPr>
            </w:pPr>
            <w:r w:rsidRPr="00E35C4F">
              <w:rPr>
                <w:color w:val="000000"/>
                <w:szCs w:val="28"/>
                <w:lang w:val="en-US"/>
              </w:rPr>
              <w:t>02 ngày làm việc</w:t>
            </w:r>
          </w:p>
        </w:tc>
        <w:tc>
          <w:tcPr>
            <w:tcW w:w="3686" w:type="dxa"/>
            <w:vMerge w:val="restart"/>
            <w:vAlign w:val="center"/>
          </w:tcPr>
          <w:p w:rsidR="00FA4AF2" w:rsidRPr="00E35C4F" w:rsidRDefault="00FA4AF2" w:rsidP="00E0044A">
            <w:pPr>
              <w:spacing w:before="60" w:after="60"/>
              <w:jc w:val="both"/>
              <w:rPr>
                <w:color w:val="000000"/>
                <w:szCs w:val="28"/>
                <w:lang w:val="en-US"/>
              </w:rPr>
            </w:pPr>
            <w:r w:rsidRPr="00E35C4F">
              <w:rPr>
                <w:color w:val="000000"/>
                <w:szCs w:val="28"/>
              </w:rPr>
              <w:t xml:space="preserve">Nộp hồ sơ trực tiếp, trực tuyến hoặc </w:t>
            </w:r>
            <w:r w:rsidR="00E0044A">
              <w:rPr>
                <w:color w:val="000000"/>
                <w:szCs w:val="28"/>
                <w:lang w:val="en-US"/>
              </w:rPr>
              <w:t xml:space="preserve">qua </w:t>
            </w:r>
            <w:r w:rsidRPr="00E35C4F">
              <w:rPr>
                <w:color w:val="000000"/>
                <w:szCs w:val="28"/>
              </w:rPr>
              <w:t xml:space="preserve">dịch vụ bưu chính đến cơ quan đăng ký cư trú. Cơ quan đăng ký cư trú có trách nhiệm chuyển hồ sơ đến </w:t>
            </w:r>
            <w:r w:rsidR="00E0044A">
              <w:rPr>
                <w:color w:val="000000"/>
                <w:szCs w:val="28"/>
                <w:lang w:val="en-US"/>
              </w:rPr>
              <w:t xml:space="preserve">UBND </w:t>
            </w:r>
            <w:r w:rsidRPr="00E35C4F">
              <w:rPr>
                <w:color w:val="000000"/>
                <w:szCs w:val="28"/>
              </w:rPr>
              <w:t>cấp xã</w:t>
            </w:r>
            <w:r>
              <w:rPr>
                <w:color w:val="000000"/>
                <w:szCs w:val="28"/>
                <w:lang w:val="en-US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A4AF2" w:rsidRPr="00E35C4F" w:rsidRDefault="00FA4AF2" w:rsidP="00E35C4F">
            <w:pPr>
              <w:spacing w:before="60" w:after="6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Không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FA4AF2" w:rsidRPr="00C34315" w:rsidRDefault="00FA4AF2" w:rsidP="00392AA6">
            <w:pPr>
              <w:spacing w:before="60" w:after="60"/>
              <w:jc w:val="both"/>
              <w:rPr>
                <w:color w:val="000000"/>
                <w:szCs w:val="28"/>
                <w:lang w:val="en-US"/>
              </w:rPr>
            </w:pPr>
            <w:r w:rsidRPr="00E35C4F">
              <w:rPr>
                <w:color w:val="000000"/>
                <w:szCs w:val="28"/>
              </w:rPr>
              <w:t>- Luật Cư trú số 68/2020/QH14</w:t>
            </w:r>
            <w:r>
              <w:rPr>
                <w:color w:val="000000"/>
                <w:szCs w:val="28"/>
                <w:lang w:val="en-US"/>
              </w:rPr>
              <w:t>.</w:t>
            </w:r>
          </w:p>
          <w:p w:rsidR="00FA4AF2" w:rsidRPr="00E35C4F" w:rsidRDefault="00FA4AF2" w:rsidP="00392AA6">
            <w:pPr>
              <w:widowControl w:val="0"/>
              <w:spacing w:before="60" w:after="60"/>
              <w:jc w:val="both"/>
              <w:rPr>
                <w:szCs w:val="28"/>
                <w:lang w:val="sv-SE"/>
              </w:rPr>
            </w:pPr>
            <w:r w:rsidRPr="00E35C4F">
              <w:rPr>
                <w:szCs w:val="28"/>
              </w:rPr>
              <w:t xml:space="preserve">- Nghị định số 154/2024/NĐ-CP ngày 26/11/2024 </w:t>
            </w:r>
            <w:r>
              <w:rPr>
                <w:szCs w:val="28"/>
                <w:lang w:val="en-US"/>
              </w:rPr>
              <w:t>của Chính phủ quy định chi tiết thi hành một số điều và biện pháp thi hành Luật Cư trú.</w:t>
            </w:r>
          </w:p>
        </w:tc>
      </w:tr>
      <w:tr w:rsidR="00FA4AF2" w:rsidRPr="00E35C4F" w:rsidTr="00FA4AF2">
        <w:trPr>
          <w:trHeight w:val="3242"/>
        </w:trPr>
        <w:tc>
          <w:tcPr>
            <w:tcW w:w="817" w:type="dxa"/>
            <w:vAlign w:val="center"/>
          </w:tcPr>
          <w:p w:rsidR="00FA4AF2" w:rsidRPr="00E35C4F" w:rsidRDefault="00FA4AF2" w:rsidP="00E35C4F">
            <w:pPr>
              <w:widowControl w:val="0"/>
              <w:spacing w:before="60" w:after="60"/>
              <w:jc w:val="center"/>
              <w:rPr>
                <w:szCs w:val="28"/>
              </w:rPr>
            </w:pPr>
            <w:r w:rsidRPr="00E35C4F">
              <w:rPr>
                <w:szCs w:val="28"/>
              </w:rPr>
              <w:t>2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A4AF2" w:rsidRPr="00E35C4F" w:rsidRDefault="00FA4AF2" w:rsidP="00E35C4F">
            <w:pPr>
              <w:shd w:val="clear" w:color="auto" w:fill="FFFFFF"/>
              <w:spacing w:before="60" w:after="60"/>
              <w:jc w:val="both"/>
              <w:rPr>
                <w:rFonts w:ascii="Times New Roman Bold" w:hAnsi="Times New Roman Bold"/>
                <w:b/>
                <w:szCs w:val="28"/>
              </w:rPr>
            </w:pPr>
            <w:r w:rsidRPr="00E35C4F">
              <w:rPr>
                <w:szCs w:val="28"/>
              </w:rPr>
              <w:t xml:space="preserve">Xác nhận về điều kiện diện tích bình quân nhà ở để đăng ký thường trú vào chỗ ở do thuê, mượn, ở nhờ; nhà ở, đất ở không có tranh chấp quyền sở hữu nhà ở, quyền sử dụng đất ở, không thuộc địa điểm không được đăng ký thường trú mới </w:t>
            </w:r>
          </w:p>
        </w:tc>
        <w:tc>
          <w:tcPr>
            <w:tcW w:w="1559" w:type="dxa"/>
            <w:vMerge/>
          </w:tcPr>
          <w:p w:rsidR="00FA4AF2" w:rsidRPr="00E35C4F" w:rsidRDefault="00FA4AF2" w:rsidP="00E35C4F">
            <w:pPr>
              <w:spacing w:before="60" w:after="60"/>
              <w:jc w:val="both"/>
              <w:rPr>
                <w:szCs w:val="28"/>
                <w:lang w:val="en-US"/>
              </w:rPr>
            </w:pPr>
          </w:p>
        </w:tc>
        <w:tc>
          <w:tcPr>
            <w:tcW w:w="3686" w:type="dxa"/>
            <w:vMerge/>
          </w:tcPr>
          <w:p w:rsidR="00FA4AF2" w:rsidRPr="00E35C4F" w:rsidRDefault="00FA4AF2" w:rsidP="00E35C4F">
            <w:pPr>
              <w:spacing w:before="60" w:after="60"/>
              <w:jc w:val="both"/>
              <w:rPr>
                <w:szCs w:val="28"/>
                <w:lang w:val="en-US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FA4AF2" w:rsidRPr="00E35C4F" w:rsidRDefault="00FA4AF2" w:rsidP="00E35C4F">
            <w:pPr>
              <w:spacing w:before="60" w:after="60"/>
              <w:jc w:val="center"/>
              <w:rPr>
                <w:szCs w:val="28"/>
                <w:lang w:val="sv-SE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FA4AF2" w:rsidRPr="00E35C4F" w:rsidRDefault="00FA4AF2" w:rsidP="00E35C4F">
            <w:pPr>
              <w:widowControl w:val="0"/>
              <w:spacing w:before="60" w:after="60"/>
              <w:jc w:val="center"/>
              <w:rPr>
                <w:szCs w:val="28"/>
                <w:lang w:val="sv-SE"/>
              </w:rPr>
            </w:pPr>
          </w:p>
        </w:tc>
      </w:tr>
    </w:tbl>
    <w:p w:rsidR="0085526E" w:rsidRDefault="0085526E" w:rsidP="005A79C9">
      <w:pPr>
        <w:spacing w:before="120" w:after="120"/>
        <w:ind w:firstLine="720"/>
        <w:jc w:val="both"/>
        <w:rPr>
          <w:b/>
          <w:sz w:val="26"/>
          <w:lang w:val="en-US"/>
        </w:rPr>
      </w:pPr>
    </w:p>
    <w:p w:rsidR="00392AA6" w:rsidRDefault="00392AA6" w:rsidP="005A79C9">
      <w:pPr>
        <w:spacing w:before="120" w:after="120"/>
        <w:ind w:firstLine="720"/>
        <w:jc w:val="both"/>
        <w:rPr>
          <w:b/>
          <w:sz w:val="26"/>
          <w:lang w:val="en-US"/>
        </w:rPr>
      </w:pPr>
    </w:p>
    <w:p w:rsidR="00392AA6" w:rsidRDefault="00E0044A" w:rsidP="005A79C9">
      <w:pPr>
        <w:spacing w:before="120" w:after="120"/>
        <w:ind w:firstLine="720"/>
        <w:jc w:val="both"/>
        <w:rPr>
          <w:b/>
          <w:sz w:val="26"/>
          <w:lang w:val="en-US"/>
        </w:rPr>
      </w:pPr>
      <w:bookmarkStart w:id="0" w:name="_GoBack"/>
      <w:r>
        <w:rPr>
          <w:b/>
          <w:noProof/>
          <w:sz w:val="2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3665524</wp:posOffset>
                </wp:positionH>
                <wp:positionV relativeFrom="paragraph">
                  <wp:posOffset>78105</wp:posOffset>
                </wp:positionV>
                <wp:extent cx="2393343" cy="0"/>
                <wp:effectExtent l="0" t="0" r="2603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33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8.6pt,6.15pt" to="477.0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" strokecolor="black [3040]"/>
            </w:pict>
          </mc:Fallback>
        </mc:AlternateContent>
      </w:r>
      <w:bookmarkEnd w:id="0"/>
    </w:p>
    <w:p w:rsidR="00392AA6" w:rsidRDefault="00392AA6" w:rsidP="005A79C9">
      <w:pPr>
        <w:spacing w:before="120" w:after="120"/>
        <w:ind w:firstLine="720"/>
        <w:jc w:val="both"/>
        <w:rPr>
          <w:b/>
          <w:sz w:val="26"/>
          <w:lang w:val="en-US"/>
        </w:rPr>
        <w:sectPr w:rsidR="00392AA6" w:rsidSect="00392AA6">
          <w:headerReference w:type="default" r:id="rId8"/>
          <w:pgSz w:w="16838" w:h="11906" w:orient="landscape" w:code="9"/>
          <w:pgMar w:top="709" w:right="1134" w:bottom="1134" w:left="1134" w:header="720" w:footer="720" w:gutter="0"/>
          <w:pgNumType w:start="1"/>
          <w:cols w:space="720"/>
          <w:docGrid w:linePitch="381"/>
        </w:sectPr>
      </w:pPr>
    </w:p>
    <w:p w:rsidR="00392AA6" w:rsidRDefault="00392AA6">
      <w:pPr>
        <w:spacing w:before="120" w:after="120"/>
        <w:ind w:firstLine="720"/>
        <w:jc w:val="both"/>
        <w:rPr>
          <w:szCs w:val="28"/>
          <w:lang w:val="en-US"/>
        </w:rPr>
      </w:pPr>
    </w:p>
    <w:sectPr w:rsidR="00392AA6" w:rsidSect="00571CEF">
      <w:headerReference w:type="default" r:id="rId9"/>
      <w:pgSz w:w="11906" w:h="16838" w:code="9"/>
      <w:pgMar w:top="1134" w:right="1134" w:bottom="1134" w:left="1701" w:header="720" w:footer="720" w:gutter="0"/>
      <w:pgNumType w:start="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58B" w:rsidRDefault="0089658B" w:rsidP="00004102">
      <w:r>
        <w:separator/>
      </w:r>
    </w:p>
  </w:endnote>
  <w:endnote w:type="continuationSeparator" w:id="0">
    <w:p w:rsidR="0089658B" w:rsidRDefault="0089658B" w:rsidP="0000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58B" w:rsidRDefault="0089658B" w:rsidP="00004102">
      <w:r>
        <w:separator/>
      </w:r>
    </w:p>
  </w:footnote>
  <w:footnote w:type="continuationSeparator" w:id="0">
    <w:p w:rsidR="0089658B" w:rsidRDefault="0089658B" w:rsidP="00004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315" w:rsidRPr="0085526E" w:rsidRDefault="00C34315" w:rsidP="0085526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445789"/>
      <w:docPartObj>
        <w:docPartGallery w:val="Page Numbers (Top of Page)"/>
        <w:docPartUnique/>
      </w:docPartObj>
    </w:sdtPr>
    <w:sdtEndPr>
      <w:rPr>
        <w:noProof/>
      </w:rPr>
    </w:sdtEndPr>
    <w:sdtContent>
      <w:p w:rsidR="00C34315" w:rsidRPr="000A0940" w:rsidRDefault="00C34315" w:rsidP="000A0940">
        <w:pPr>
          <w:pStyle w:val="Header"/>
          <w:spacing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04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5F"/>
    <w:rsid w:val="00004102"/>
    <w:rsid w:val="00025D3F"/>
    <w:rsid w:val="000A0940"/>
    <w:rsid w:val="000B4883"/>
    <w:rsid w:val="001536E5"/>
    <w:rsid w:val="001946F5"/>
    <w:rsid w:val="001C35B5"/>
    <w:rsid w:val="00230485"/>
    <w:rsid w:val="00241D09"/>
    <w:rsid w:val="00265825"/>
    <w:rsid w:val="002E3CA1"/>
    <w:rsid w:val="003250FD"/>
    <w:rsid w:val="003746B1"/>
    <w:rsid w:val="00392AA6"/>
    <w:rsid w:val="003C4954"/>
    <w:rsid w:val="003E6C03"/>
    <w:rsid w:val="004D5BAF"/>
    <w:rsid w:val="00571CEF"/>
    <w:rsid w:val="00584D81"/>
    <w:rsid w:val="005A79C9"/>
    <w:rsid w:val="005B356A"/>
    <w:rsid w:val="00645B7E"/>
    <w:rsid w:val="0066035F"/>
    <w:rsid w:val="00673F13"/>
    <w:rsid w:val="006A4F3F"/>
    <w:rsid w:val="00703A35"/>
    <w:rsid w:val="0078763A"/>
    <w:rsid w:val="00810E41"/>
    <w:rsid w:val="0085526E"/>
    <w:rsid w:val="0089658B"/>
    <w:rsid w:val="008B3345"/>
    <w:rsid w:val="008C401E"/>
    <w:rsid w:val="00980C33"/>
    <w:rsid w:val="009A1DA5"/>
    <w:rsid w:val="009B54EB"/>
    <w:rsid w:val="00A66D7B"/>
    <w:rsid w:val="00AB6F1C"/>
    <w:rsid w:val="00AC2AE0"/>
    <w:rsid w:val="00AF68F0"/>
    <w:rsid w:val="00B460F6"/>
    <w:rsid w:val="00B51D03"/>
    <w:rsid w:val="00B72DD5"/>
    <w:rsid w:val="00BA32C4"/>
    <w:rsid w:val="00C03307"/>
    <w:rsid w:val="00C0639A"/>
    <w:rsid w:val="00C34315"/>
    <w:rsid w:val="00CE5E6B"/>
    <w:rsid w:val="00CF109B"/>
    <w:rsid w:val="00CF5285"/>
    <w:rsid w:val="00D6758E"/>
    <w:rsid w:val="00D84D5E"/>
    <w:rsid w:val="00D9408C"/>
    <w:rsid w:val="00DA568F"/>
    <w:rsid w:val="00DE1353"/>
    <w:rsid w:val="00E0044A"/>
    <w:rsid w:val="00E35C4F"/>
    <w:rsid w:val="00E371A6"/>
    <w:rsid w:val="00EC6201"/>
    <w:rsid w:val="00F87F43"/>
    <w:rsid w:val="00FA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sz w:val="28"/>
        <w:lang w:val="vi-VN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954"/>
    <w:pPr>
      <w:spacing w:before="0" w:after="0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1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102"/>
  </w:style>
  <w:style w:type="paragraph" w:styleId="Footer">
    <w:name w:val="footer"/>
    <w:basedOn w:val="Normal"/>
    <w:link w:val="FooterChar"/>
    <w:uiPriority w:val="99"/>
    <w:unhideWhenUsed/>
    <w:rsid w:val="000041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102"/>
  </w:style>
  <w:style w:type="paragraph" w:styleId="ListParagraph">
    <w:name w:val="List Paragraph"/>
    <w:basedOn w:val="Normal"/>
    <w:uiPriority w:val="34"/>
    <w:qFormat/>
    <w:rsid w:val="005A79C9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rsid w:val="005A79C9"/>
    <w:pPr>
      <w:suppressAutoHyphens/>
      <w:spacing w:before="280" w:after="280"/>
    </w:pPr>
    <w:rPr>
      <w:rFonts w:eastAsia="MS Mincho"/>
      <w:sz w:val="24"/>
      <w:szCs w:val="24"/>
      <w:lang w:val="x-none" w:eastAsia="ar-SA"/>
    </w:rPr>
  </w:style>
  <w:style w:type="character" w:customStyle="1" w:styleId="NormalWebChar">
    <w:name w:val="Normal (Web) Char"/>
    <w:link w:val="NormalWeb"/>
    <w:uiPriority w:val="99"/>
    <w:rsid w:val="005A79C9"/>
    <w:rPr>
      <w:rFonts w:eastAsia="MS Mincho"/>
      <w:sz w:val="24"/>
      <w:szCs w:val="24"/>
      <w:lang w:val="x-none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3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sz w:val="28"/>
        <w:lang w:val="vi-VN" w:eastAsia="en-US" w:bidi="ar-SA"/>
      </w:rPr>
    </w:rPrDefault>
    <w:pPrDefault>
      <w:pPr>
        <w:spacing w:before="120"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954"/>
    <w:pPr>
      <w:spacing w:before="0" w:after="0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1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102"/>
  </w:style>
  <w:style w:type="paragraph" w:styleId="Footer">
    <w:name w:val="footer"/>
    <w:basedOn w:val="Normal"/>
    <w:link w:val="FooterChar"/>
    <w:uiPriority w:val="99"/>
    <w:unhideWhenUsed/>
    <w:rsid w:val="000041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102"/>
  </w:style>
  <w:style w:type="paragraph" w:styleId="ListParagraph">
    <w:name w:val="List Paragraph"/>
    <w:basedOn w:val="Normal"/>
    <w:uiPriority w:val="34"/>
    <w:qFormat/>
    <w:rsid w:val="005A79C9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rsid w:val="005A79C9"/>
    <w:pPr>
      <w:suppressAutoHyphens/>
      <w:spacing w:before="280" w:after="280"/>
    </w:pPr>
    <w:rPr>
      <w:rFonts w:eastAsia="MS Mincho"/>
      <w:sz w:val="24"/>
      <w:szCs w:val="24"/>
      <w:lang w:val="x-none" w:eastAsia="ar-SA"/>
    </w:rPr>
  </w:style>
  <w:style w:type="character" w:customStyle="1" w:styleId="NormalWebChar">
    <w:name w:val="Normal (Web) Char"/>
    <w:link w:val="NormalWeb"/>
    <w:uiPriority w:val="99"/>
    <w:rsid w:val="005A79C9"/>
    <w:rPr>
      <w:rFonts w:eastAsia="MS Mincho"/>
      <w:sz w:val="24"/>
      <w:szCs w:val="24"/>
      <w:lang w:val="x-none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3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3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473EB-0A50-44F6-9348-98D820D1A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QUNG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nghiantpv01 (pv01-tmcs-m13)</dc:creator>
  <cp:lastModifiedBy>HP04</cp:lastModifiedBy>
  <cp:revision>4</cp:revision>
  <cp:lastPrinted>2025-02-05T02:26:00Z</cp:lastPrinted>
  <dcterms:created xsi:type="dcterms:W3CDTF">2025-02-06T09:08:00Z</dcterms:created>
  <dcterms:modified xsi:type="dcterms:W3CDTF">2025-02-07T07:41:00Z</dcterms:modified>
</cp:coreProperties>
</file>